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0BC06" w14:textId="77777777" w:rsidR="00CC5456" w:rsidRDefault="00CC5456">
      <w:pPr>
        <w:keepNext/>
        <w:pBdr>
          <w:top w:val="nil"/>
          <w:left w:val="nil"/>
          <w:bottom w:val="nil"/>
          <w:right w:val="nil"/>
          <w:between w:val="nil"/>
        </w:pBdr>
        <w:spacing w:after="240" w:line="240" w:lineRule="auto"/>
        <w:rPr>
          <w:rFonts w:ascii="Arial" w:eastAsia="Arial" w:hAnsi="Arial" w:cs="Arial"/>
          <w:b/>
          <w:color w:val="000000"/>
          <w:sz w:val="36"/>
          <w:szCs w:val="36"/>
        </w:rPr>
      </w:pPr>
    </w:p>
    <w:p w14:paraId="5FFA0A4B" w14:textId="77777777" w:rsidR="00CC5456" w:rsidRDefault="008F7D07">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1669D077" w14:textId="77777777" w:rsidR="00CC5456" w:rsidRDefault="008F7D0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46F2A50"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5"/>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CC5456" w14:paraId="778C7BC9" w14:textId="77777777">
        <w:tc>
          <w:tcPr>
            <w:tcW w:w="2410" w:type="dxa"/>
            <w:shd w:val="clear" w:color="auto" w:fill="auto"/>
          </w:tcPr>
          <w:p w14:paraId="67B72B08" w14:textId="77777777" w:rsidR="00CC5456" w:rsidRDefault="00CC5456">
            <w:pPr>
              <w:pBdr>
                <w:top w:val="nil"/>
                <w:left w:val="nil"/>
                <w:bottom w:val="nil"/>
                <w:right w:val="nil"/>
                <w:between w:val="nil"/>
              </w:pBdr>
              <w:spacing w:after="120"/>
              <w:ind w:left="-108"/>
              <w:rPr>
                <w:rFonts w:ascii="Arial" w:eastAsia="Arial" w:hAnsi="Arial" w:cs="Arial"/>
                <w:b/>
                <w:color w:val="000000"/>
                <w:sz w:val="24"/>
                <w:szCs w:val="24"/>
              </w:rPr>
            </w:pPr>
          </w:p>
          <w:p w14:paraId="78FAC85D"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47E59EA8" w14:textId="77777777" w:rsidR="00CC5456" w:rsidRDefault="00CC5456">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p>
          <w:p w14:paraId="4F046B12"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C5456" w14:paraId="3F0D98C6" w14:textId="77777777">
        <w:tc>
          <w:tcPr>
            <w:tcW w:w="2410" w:type="dxa"/>
            <w:shd w:val="clear" w:color="auto" w:fill="auto"/>
          </w:tcPr>
          <w:p w14:paraId="6375BD96"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36F70F2A"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CC5456" w14:paraId="568E8DEA" w14:textId="77777777">
        <w:trPr>
          <w:trHeight w:val="359"/>
        </w:trPr>
        <w:tc>
          <w:tcPr>
            <w:tcW w:w="2410" w:type="dxa"/>
            <w:shd w:val="clear" w:color="auto" w:fill="auto"/>
          </w:tcPr>
          <w:p w14:paraId="07AAA798"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8EC2685"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C5456" w14:paraId="2472F414" w14:textId="77777777">
        <w:tc>
          <w:tcPr>
            <w:tcW w:w="2410" w:type="dxa"/>
            <w:shd w:val="clear" w:color="auto" w:fill="auto"/>
          </w:tcPr>
          <w:p w14:paraId="35E71C6E"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7E3A7A4E"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CC5456" w14:paraId="562A74F1" w14:textId="77777777">
        <w:tc>
          <w:tcPr>
            <w:tcW w:w="2410" w:type="dxa"/>
            <w:shd w:val="clear" w:color="auto" w:fill="auto"/>
          </w:tcPr>
          <w:p w14:paraId="690A72EA"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50E75811"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CC5456" w14:paraId="3CF80FBA" w14:textId="77777777">
        <w:tc>
          <w:tcPr>
            <w:tcW w:w="2410" w:type="dxa"/>
            <w:shd w:val="clear" w:color="auto" w:fill="auto"/>
          </w:tcPr>
          <w:p w14:paraId="35D5298D" w14:textId="77777777" w:rsidR="00CC5456" w:rsidRDefault="008F7D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4DA7E48F" w14:textId="77777777" w:rsidR="00CC5456" w:rsidRDefault="008F7D07">
            <w:pPr>
              <w:numPr>
                <w:ilvl w:val="0"/>
                <w:numId w:val="1"/>
              </w:num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13801AE1" w14:textId="77777777" w:rsidR="00CC5456" w:rsidRDefault="008F7D07">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3493E814"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293B25E7"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D29D234"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2871F314"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A Service Credit shall be the Buyer’s exclusive financial remedy for a Service Level Failure except where:</w:t>
      </w:r>
    </w:p>
    <w:p w14:paraId="3687061B"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75020A5B"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6A542903" w14:textId="77777777" w:rsidR="00CC5456" w:rsidRDefault="008F7D07">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39B63DEB" w14:textId="77777777" w:rsidR="00CC5456" w:rsidRDefault="008F7D07">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1F723471" w14:textId="77777777" w:rsidR="00CC5456" w:rsidRDefault="008F7D07">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7B52A53E" w14:textId="77777777" w:rsidR="00CC5456" w:rsidRDefault="008F7D07">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2C9A45B1"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35706F0B"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3560C75F"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5CCD6133"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4E16CBA0" w14:textId="77777777" w:rsidR="00CC5456" w:rsidRDefault="008F7D0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5B8E9AC1" w14:textId="77777777" w:rsidR="00CC5456" w:rsidRDefault="008F7D0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08D3D1F5" w14:textId="77777777" w:rsidR="00CC5456" w:rsidRDefault="008F7D07">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412A5070"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0F5CA784" w14:textId="77777777" w:rsidR="00CC5456" w:rsidRDefault="008F7D0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709329B9" w14:textId="77777777" w:rsidR="00CC5456" w:rsidRDefault="008F7D07">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58B495F1" w14:textId="77777777" w:rsidR="00CC5456" w:rsidRDefault="00CC5456">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22E92295" w14:textId="77777777" w:rsidR="00CC5456" w:rsidRDefault="008F7D0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64E07469" w14:textId="77777777" w:rsidR="00CC5456" w:rsidRDefault="008F7D0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11DEC886" w14:textId="77777777" w:rsidR="00CC5456" w:rsidRDefault="008F7D0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2ABF7122"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0D63DE86"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4B5C84DC" w14:textId="77777777" w:rsidR="00CC5456" w:rsidRDefault="008F7D0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3761BF05" w14:textId="77777777" w:rsidR="00CC5456" w:rsidRDefault="008F7D0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BE9E727" w14:textId="77777777" w:rsidR="00CC5456" w:rsidRDefault="008F7D0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17558FD3" w14:textId="77777777" w:rsidR="00CC5456" w:rsidRDefault="008F7D0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487B3E29" w14:textId="77777777" w:rsidR="00CC5456" w:rsidRDefault="008F7D0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3B0C80B0" w14:textId="77777777" w:rsidR="00CC5456" w:rsidRDefault="008F7D0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69B1B8F3"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62113A63"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49F9C853" w14:textId="77777777" w:rsidR="00CC5456" w:rsidRDefault="008F7D07">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bookmarkStart w:id="1" w:name="_heading=h.1fob9te" w:colFirst="0" w:colLast="0"/>
      <w:bookmarkEnd w:id="1"/>
      <w:r>
        <w:br w:type="page"/>
      </w:r>
      <w:r>
        <w:rPr>
          <w:rFonts w:ascii="Arial Bold" w:eastAsia="Arial Bold" w:hAnsi="Arial Bold" w:cs="Arial Bold"/>
          <w:b/>
          <w:color w:val="000000"/>
          <w:sz w:val="36"/>
          <w:szCs w:val="36"/>
        </w:rPr>
        <w:lastRenderedPageBreak/>
        <w:t>Annex A to Part A: Services Levels and Service Credits Table</w:t>
      </w:r>
    </w:p>
    <w:p w14:paraId="0E86E243" w14:textId="77777777" w:rsidR="00CC5456" w:rsidRDefault="00CC5456">
      <w:pPr>
        <w:ind w:left="709"/>
        <w:rPr>
          <w:rFonts w:ascii="Arial" w:eastAsia="Arial" w:hAnsi="Arial" w:cs="Arial"/>
          <w:sz w:val="24"/>
          <w:szCs w:val="24"/>
        </w:rPr>
      </w:pPr>
    </w:p>
    <w:tbl>
      <w:tblPr>
        <w:tblStyle w:val="a6"/>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5"/>
        <w:gridCol w:w="2355"/>
        <w:gridCol w:w="1080"/>
        <w:gridCol w:w="1425"/>
        <w:gridCol w:w="2100"/>
      </w:tblGrid>
      <w:tr w:rsidR="00CC5456" w14:paraId="66AC65B9" w14:textId="77777777">
        <w:trPr>
          <w:trHeight w:val="1213"/>
          <w:jc w:val="center"/>
        </w:trPr>
        <w:tc>
          <w:tcPr>
            <w:tcW w:w="6405" w:type="dxa"/>
            <w:gridSpan w:val="4"/>
            <w:shd w:val="clear" w:color="auto" w:fill="D9D9D9"/>
          </w:tcPr>
          <w:p w14:paraId="67A2CA1A" w14:textId="77777777" w:rsidR="00CC5456" w:rsidRDefault="008F7D07">
            <w:pPr>
              <w:ind w:left="95"/>
              <w:rPr>
                <w:rFonts w:ascii="Arial" w:eastAsia="Arial" w:hAnsi="Arial" w:cs="Arial"/>
                <w:sz w:val="24"/>
                <w:szCs w:val="24"/>
              </w:rPr>
            </w:pPr>
            <w:r>
              <w:rPr>
                <w:rFonts w:ascii="Arial" w:eastAsia="Arial" w:hAnsi="Arial" w:cs="Arial"/>
                <w:sz w:val="24"/>
                <w:szCs w:val="24"/>
              </w:rPr>
              <w:t>Service Levels</w:t>
            </w:r>
          </w:p>
        </w:tc>
        <w:tc>
          <w:tcPr>
            <w:tcW w:w="2100" w:type="dxa"/>
            <w:vMerge w:val="restart"/>
            <w:shd w:val="clear" w:color="auto" w:fill="D9D9D9"/>
            <w:vAlign w:val="center"/>
          </w:tcPr>
          <w:p w14:paraId="6B303643" w14:textId="77777777" w:rsidR="00CC5456" w:rsidRDefault="008F7D07">
            <w:pPr>
              <w:ind w:left="95"/>
              <w:rPr>
                <w:rFonts w:ascii="Arial" w:eastAsia="Arial" w:hAnsi="Arial" w:cs="Arial"/>
                <w:sz w:val="24"/>
                <w:szCs w:val="24"/>
              </w:rPr>
            </w:pPr>
            <w:r>
              <w:rPr>
                <w:rFonts w:ascii="Arial" w:eastAsia="Arial" w:hAnsi="Arial" w:cs="Arial"/>
                <w:sz w:val="24"/>
                <w:szCs w:val="24"/>
              </w:rPr>
              <w:t>Service Credit for each Service Period</w:t>
            </w:r>
          </w:p>
          <w:p w14:paraId="339E9AFB" w14:textId="77777777" w:rsidR="00CC5456" w:rsidRDefault="00CC5456">
            <w:pPr>
              <w:ind w:left="95"/>
              <w:rPr>
                <w:rFonts w:ascii="Arial" w:eastAsia="Arial" w:hAnsi="Arial" w:cs="Arial"/>
                <w:sz w:val="24"/>
                <w:szCs w:val="24"/>
              </w:rPr>
            </w:pPr>
          </w:p>
        </w:tc>
      </w:tr>
      <w:tr w:rsidR="00CC5456" w14:paraId="7BD7733C" w14:textId="77777777">
        <w:trPr>
          <w:trHeight w:val="1213"/>
          <w:jc w:val="center"/>
        </w:trPr>
        <w:tc>
          <w:tcPr>
            <w:tcW w:w="1545" w:type="dxa"/>
            <w:shd w:val="clear" w:color="auto" w:fill="D9D9D9"/>
            <w:vAlign w:val="center"/>
          </w:tcPr>
          <w:p w14:paraId="7EC7628A" w14:textId="77777777" w:rsidR="00CC5456" w:rsidRDefault="008F7D07">
            <w:pPr>
              <w:ind w:left="61"/>
              <w:rPr>
                <w:rFonts w:ascii="Arial" w:eastAsia="Arial" w:hAnsi="Arial" w:cs="Arial"/>
              </w:rPr>
            </w:pPr>
            <w:r>
              <w:rPr>
                <w:rFonts w:ascii="Arial" w:eastAsia="Arial" w:hAnsi="Arial" w:cs="Arial"/>
              </w:rPr>
              <w:t>Service Level Performance Criterion</w:t>
            </w:r>
          </w:p>
        </w:tc>
        <w:tc>
          <w:tcPr>
            <w:tcW w:w="2355" w:type="dxa"/>
            <w:shd w:val="clear" w:color="auto" w:fill="D9D9D9"/>
            <w:vAlign w:val="center"/>
          </w:tcPr>
          <w:p w14:paraId="421C3D65" w14:textId="77777777" w:rsidR="00CC5456" w:rsidRDefault="008F7D07">
            <w:pPr>
              <w:ind w:left="95"/>
              <w:rPr>
                <w:rFonts w:ascii="Arial" w:eastAsia="Arial" w:hAnsi="Arial" w:cs="Arial"/>
              </w:rPr>
            </w:pPr>
            <w:r>
              <w:rPr>
                <w:rFonts w:ascii="Arial" w:eastAsia="Arial" w:hAnsi="Arial" w:cs="Arial"/>
              </w:rPr>
              <w:t>Key Indicator</w:t>
            </w:r>
          </w:p>
        </w:tc>
        <w:tc>
          <w:tcPr>
            <w:tcW w:w="1080" w:type="dxa"/>
            <w:shd w:val="clear" w:color="auto" w:fill="D9D9D9"/>
            <w:vAlign w:val="center"/>
          </w:tcPr>
          <w:p w14:paraId="506C2FDF" w14:textId="77777777" w:rsidR="00CC5456" w:rsidRDefault="008F7D07">
            <w:pPr>
              <w:rPr>
                <w:rFonts w:ascii="Arial" w:eastAsia="Arial" w:hAnsi="Arial" w:cs="Arial"/>
              </w:rPr>
            </w:pPr>
            <w:r>
              <w:rPr>
                <w:rFonts w:ascii="Arial" w:eastAsia="Arial" w:hAnsi="Arial" w:cs="Arial"/>
              </w:rPr>
              <w:t>Service Level Performance Measure</w:t>
            </w:r>
          </w:p>
        </w:tc>
        <w:tc>
          <w:tcPr>
            <w:tcW w:w="1425" w:type="dxa"/>
            <w:shd w:val="clear" w:color="auto" w:fill="D9D9D9"/>
          </w:tcPr>
          <w:p w14:paraId="6175523B" w14:textId="77777777" w:rsidR="00CC5456" w:rsidRDefault="008F7D07">
            <w:pPr>
              <w:ind w:left="95"/>
              <w:rPr>
                <w:rFonts w:ascii="Arial" w:eastAsia="Arial" w:hAnsi="Arial" w:cs="Arial"/>
              </w:rPr>
            </w:pPr>
            <w:r>
              <w:rPr>
                <w:rFonts w:ascii="Arial" w:eastAsia="Arial" w:hAnsi="Arial" w:cs="Arial"/>
              </w:rPr>
              <w:t>Service Level Threshold</w:t>
            </w:r>
          </w:p>
        </w:tc>
        <w:tc>
          <w:tcPr>
            <w:tcW w:w="2100" w:type="dxa"/>
            <w:vMerge/>
            <w:shd w:val="clear" w:color="auto" w:fill="D9D9D9"/>
            <w:vAlign w:val="center"/>
          </w:tcPr>
          <w:p w14:paraId="6CE08190" w14:textId="77777777" w:rsidR="00CC5456" w:rsidRDefault="00CC5456">
            <w:pPr>
              <w:widowControl w:val="0"/>
              <w:pBdr>
                <w:top w:val="nil"/>
                <w:left w:val="nil"/>
                <w:bottom w:val="nil"/>
                <w:right w:val="nil"/>
                <w:between w:val="nil"/>
              </w:pBdr>
              <w:spacing w:line="276" w:lineRule="auto"/>
              <w:rPr>
                <w:rFonts w:ascii="Arial" w:eastAsia="Arial" w:hAnsi="Arial" w:cs="Arial"/>
              </w:rPr>
            </w:pPr>
          </w:p>
        </w:tc>
      </w:tr>
      <w:tr w:rsidR="00CC5456" w14:paraId="1FF9DEBE" w14:textId="77777777">
        <w:trPr>
          <w:trHeight w:val="1474"/>
          <w:jc w:val="center"/>
        </w:trPr>
        <w:tc>
          <w:tcPr>
            <w:tcW w:w="1545" w:type="dxa"/>
          </w:tcPr>
          <w:p w14:paraId="136CC3CE" w14:textId="77777777" w:rsidR="00CC5456" w:rsidRDefault="008F7D07">
            <w:pPr>
              <w:spacing w:after="120"/>
              <w:ind w:left="61"/>
              <w:rPr>
                <w:rFonts w:ascii="Arial" w:eastAsia="Arial" w:hAnsi="Arial" w:cs="Arial"/>
                <w:sz w:val="24"/>
                <w:szCs w:val="24"/>
              </w:rPr>
            </w:pPr>
            <w:r>
              <w:rPr>
                <w:rFonts w:ascii="Arial" w:eastAsia="Arial" w:hAnsi="Arial" w:cs="Arial"/>
                <w:sz w:val="24"/>
                <w:szCs w:val="24"/>
              </w:rPr>
              <w:t xml:space="preserve">Service Availability </w:t>
            </w:r>
          </w:p>
        </w:tc>
        <w:tc>
          <w:tcPr>
            <w:tcW w:w="2355" w:type="dxa"/>
            <w:tcBorders>
              <w:top w:val="single" w:sz="4" w:space="0" w:color="000000"/>
              <w:left w:val="single" w:sz="4" w:space="0" w:color="000000"/>
              <w:bottom w:val="single" w:sz="4" w:space="0" w:color="000000"/>
              <w:right w:val="single" w:sz="4" w:space="0" w:color="000000"/>
            </w:tcBorders>
          </w:tcPr>
          <w:p w14:paraId="4EA064D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highlight w:val="white"/>
              </w:rPr>
              <w:t>Provide service availability for 365 days a year, 7 days per week, 24 hours per day, with the exception of agreed planned maintenance</w:t>
            </w:r>
          </w:p>
        </w:tc>
        <w:tc>
          <w:tcPr>
            <w:tcW w:w="1080" w:type="dxa"/>
            <w:tcBorders>
              <w:top w:val="single" w:sz="4" w:space="0" w:color="000000"/>
              <w:left w:val="single" w:sz="4" w:space="0" w:color="000000"/>
              <w:bottom w:val="single" w:sz="4" w:space="0" w:color="000000"/>
              <w:right w:val="single" w:sz="4" w:space="0" w:color="000000"/>
            </w:tcBorders>
          </w:tcPr>
          <w:p w14:paraId="7A487B7E"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99.5% </w:t>
            </w:r>
          </w:p>
        </w:tc>
        <w:tc>
          <w:tcPr>
            <w:tcW w:w="1425" w:type="dxa"/>
            <w:tcBorders>
              <w:top w:val="single" w:sz="4" w:space="0" w:color="000000"/>
              <w:left w:val="single" w:sz="4" w:space="0" w:color="000000"/>
              <w:bottom w:val="single" w:sz="4" w:space="0" w:color="000000"/>
              <w:right w:val="single" w:sz="4" w:space="0" w:color="000000"/>
            </w:tcBorders>
          </w:tcPr>
          <w:p w14:paraId="49B67B3F"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99.5%</w:t>
            </w:r>
          </w:p>
        </w:tc>
        <w:tc>
          <w:tcPr>
            <w:tcW w:w="2100" w:type="dxa"/>
          </w:tcPr>
          <w:p w14:paraId="78A2FE12" w14:textId="77777777" w:rsidR="00CC5456" w:rsidRDefault="008F7D07">
            <w:pPr>
              <w:spacing w:after="120" w:line="256" w:lineRule="auto"/>
              <w:rPr>
                <w:rFonts w:ascii="Arial" w:eastAsia="Arial" w:hAnsi="Arial" w:cs="Arial"/>
                <w:sz w:val="24"/>
                <w:szCs w:val="24"/>
              </w:rPr>
            </w:pPr>
            <w:r>
              <w:rPr>
                <w:rFonts w:ascii="Fujitsu Infinity Pro" w:eastAsia="Fujitsu Infinity Pro" w:hAnsi="Fujitsu Infinity Pro" w:cs="Fujitsu Infinity Pro"/>
                <w:sz w:val="22"/>
                <w:szCs w:val="22"/>
              </w:rPr>
              <w:t>0.5%  for each percentage under the specified Service Level Performance Measure</w:t>
            </w:r>
          </w:p>
        </w:tc>
      </w:tr>
      <w:tr w:rsidR="00CC5456" w14:paraId="32EC3D34"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4FE2EF92"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Help and support</w:t>
            </w:r>
          </w:p>
        </w:tc>
        <w:tc>
          <w:tcPr>
            <w:tcW w:w="2355" w:type="dxa"/>
            <w:tcBorders>
              <w:top w:val="single" w:sz="4" w:space="0" w:color="000000"/>
              <w:left w:val="single" w:sz="4" w:space="0" w:color="000000"/>
              <w:bottom w:val="single" w:sz="4" w:space="0" w:color="000000"/>
              <w:right w:val="single" w:sz="4" w:space="0" w:color="000000"/>
            </w:tcBorders>
          </w:tcPr>
          <w:p w14:paraId="500D97FE"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Receive an initial response to Priority 1 (The platform is down or a significant portion of the functionality is unusable, resulting in a critical impact on operations. No workaround is available.) within 1 hour and a target resolution of 24 hours </w:t>
            </w:r>
          </w:p>
        </w:tc>
        <w:tc>
          <w:tcPr>
            <w:tcW w:w="1080" w:type="dxa"/>
            <w:tcBorders>
              <w:top w:val="single" w:sz="4" w:space="0" w:color="000000"/>
              <w:left w:val="single" w:sz="4" w:space="0" w:color="000000"/>
              <w:bottom w:val="single" w:sz="4" w:space="0" w:color="000000"/>
              <w:right w:val="single" w:sz="4" w:space="0" w:color="000000"/>
            </w:tcBorders>
          </w:tcPr>
          <w:p w14:paraId="348CD0F4"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1938E6C7"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36FA145E" w14:textId="77777777" w:rsidR="00CC5456" w:rsidRDefault="008F7D07">
            <w:pPr>
              <w:spacing w:after="120" w:line="256" w:lineRule="auto"/>
              <w:rPr>
                <w:rFonts w:ascii="Arial" w:eastAsia="Arial" w:hAnsi="Arial" w:cs="Arial"/>
                <w:sz w:val="24"/>
                <w:szCs w:val="24"/>
              </w:rPr>
            </w:pPr>
            <w:r>
              <w:rPr>
                <w:rFonts w:ascii="Fujitsu Infinity Pro" w:eastAsia="Fujitsu Infinity Pro" w:hAnsi="Fujitsu Infinity Pro" w:cs="Fujitsu Infinity Pro"/>
                <w:sz w:val="22"/>
                <w:szCs w:val="22"/>
              </w:rPr>
              <w:t>1% for each percentage under the specified Service Level Performance Measure</w:t>
            </w:r>
          </w:p>
        </w:tc>
      </w:tr>
      <w:tr w:rsidR="00CC5456" w14:paraId="508AFEF3"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2BF4D2AD"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Help and support</w:t>
            </w:r>
          </w:p>
        </w:tc>
        <w:tc>
          <w:tcPr>
            <w:tcW w:w="2355" w:type="dxa"/>
            <w:tcBorders>
              <w:top w:val="single" w:sz="4" w:space="0" w:color="000000"/>
              <w:left w:val="single" w:sz="4" w:space="0" w:color="000000"/>
              <w:bottom w:val="single" w:sz="4" w:space="0" w:color="000000"/>
              <w:right w:val="single" w:sz="4" w:space="0" w:color="000000"/>
            </w:tcBorders>
          </w:tcPr>
          <w:p w14:paraId="6A43081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Receive an initial response to Priority 2 (A major functionality is impacted or significant performance degradation is experienced. The situation hampers operations but does not completely halt them. A workaround </w:t>
            </w:r>
            <w:r>
              <w:rPr>
                <w:rFonts w:ascii="Fujitsu Infinity Pro" w:eastAsia="Fujitsu Infinity Pro" w:hAnsi="Fujitsu Infinity Pro" w:cs="Fujitsu Infinity Pro"/>
                <w:sz w:val="22"/>
                <w:szCs w:val="22"/>
              </w:rPr>
              <w:lastRenderedPageBreak/>
              <w:t>may be available but is not scalable) within 4 hours and a target resolution of 5 business days.</w:t>
            </w:r>
          </w:p>
        </w:tc>
        <w:tc>
          <w:tcPr>
            <w:tcW w:w="1080" w:type="dxa"/>
            <w:tcBorders>
              <w:top w:val="single" w:sz="4" w:space="0" w:color="000000"/>
              <w:left w:val="single" w:sz="4" w:space="0" w:color="000000"/>
              <w:bottom w:val="single" w:sz="4" w:space="0" w:color="000000"/>
              <w:right w:val="single" w:sz="4" w:space="0" w:color="000000"/>
            </w:tcBorders>
          </w:tcPr>
          <w:p w14:paraId="2899707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lastRenderedPageBreak/>
              <w:t>95%</w:t>
            </w:r>
          </w:p>
        </w:tc>
        <w:tc>
          <w:tcPr>
            <w:tcW w:w="1425" w:type="dxa"/>
            <w:tcBorders>
              <w:top w:val="single" w:sz="4" w:space="0" w:color="000000"/>
              <w:left w:val="single" w:sz="4" w:space="0" w:color="000000"/>
              <w:bottom w:val="single" w:sz="4" w:space="0" w:color="000000"/>
              <w:right w:val="single" w:sz="4" w:space="0" w:color="000000"/>
            </w:tcBorders>
          </w:tcPr>
          <w:p w14:paraId="217D05A3"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544E07B8" w14:textId="77777777" w:rsidR="00CC5456" w:rsidRDefault="008F7D07">
            <w:pPr>
              <w:spacing w:after="120" w:line="256" w:lineRule="auto"/>
              <w:rPr>
                <w:rFonts w:ascii="Arial" w:eastAsia="Arial" w:hAnsi="Arial" w:cs="Arial"/>
                <w:sz w:val="24"/>
                <w:szCs w:val="24"/>
              </w:rPr>
            </w:pPr>
            <w:r>
              <w:rPr>
                <w:rFonts w:ascii="Fujitsu Infinity Pro" w:eastAsia="Fujitsu Infinity Pro" w:hAnsi="Fujitsu Infinity Pro" w:cs="Fujitsu Infinity Pro"/>
                <w:sz w:val="22"/>
                <w:szCs w:val="22"/>
              </w:rPr>
              <w:t>0.5% for each percentage under the specified Near Target Service Level Performance Measure</w:t>
            </w:r>
          </w:p>
        </w:tc>
      </w:tr>
      <w:tr w:rsidR="00CC5456" w14:paraId="3E03D7B9"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7F6399B3"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Help and support</w:t>
            </w:r>
          </w:p>
        </w:tc>
        <w:tc>
          <w:tcPr>
            <w:tcW w:w="2355" w:type="dxa"/>
            <w:tcBorders>
              <w:top w:val="single" w:sz="4" w:space="0" w:color="000000"/>
              <w:left w:val="single" w:sz="4" w:space="0" w:color="000000"/>
              <w:bottom w:val="single" w:sz="4" w:space="0" w:color="000000"/>
              <w:right w:val="single" w:sz="4" w:space="0" w:color="000000"/>
            </w:tcBorders>
          </w:tcPr>
          <w:p w14:paraId="2B0C57A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Receive an initial response to Priority 3 (A minor functionality is impacted or some performance degradation is experienced. The issue causes inconvenience to operations without significantly hindering them. A workaround is available.) within 8 hours and a target resolution of 10 working days. </w:t>
            </w:r>
          </w:p>
        </w:tc>
        <w:tc>
          <w:tcPr>
            <w:tcW w:w="1080" w:type="dxa"/>
            <w:tcBorders>
              <w:top w:val="single" w:sz="4" w:space="0" w:color="000000"/>
              <w:left w:val="single" w:sz="4" w:space="0" w:color="000000"/>
              <w:bottom w:val="single" w:sz="4" w:space="0" w:color="000000"/>
              <w:right w:val="single" w:sz="4" w:space="0" w:color="000000"/>
            </w:tcBorders>
          </w:tcPr>
          <w:p w14:paraId="138C2DD7"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03C7481B"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0F25F3BA" w14:textId="77777777" w:rsidR="00CC5456" w:rsidRDefault="008F7D07">
            <w:pPr>
              <w:spacing w:after="120" w:line="256" w:lineRule="auto"/>
              <w:rPr>
                <w:rFonts w:ascii="Arial" w:eastAsia="Arial" w:hAnsi="Arial" w:cs="Arial"/>
                <w:sz w:val="24"/>
                <w:szCs w:val="24"/>
              </w:rPr>
            </w:pPr>
            <w:r>
              <w:rPr>
                <w:rFonts w:ascii="Fujitsu Infinity Pro" w:eastAsia="Fujitsu Infinity Pro" w:hAnsi="Fujitsu Infinity Pro" w:cs="Fujitsu Infinity Pro"/>
                <w:sz w:val="22"/>
                <w:szCs w:val="22"/>
              </w:rPr>
              <w:t>0.5% for each percentage under the specified Near Target Service Level Performance Measure</w:t>
            </w:r>
          </w:p>
        </w:tc>
      </w:tr>
      <w:tr w:rsidR="00CC5456" w14:paraId="3A5F1864"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3477B40B"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Help and support</w:t>
            </w:r>
          </w:p>
        </w:tc>
        <w:tc>
          <w:tcPr>
            <w:tcW w:w="2355" w:type="dxa"/>
            <w:tcBorders>
              <w:top w:val="single" w:sz="4" w:space="0" w:color="000000"/>
              <w:left w:val="single" w:sz="4" w:space="0" w:color="000000"/>
              <w:bottom w:val="single" w:sz="4" w:space="0" w:color="000000"/>
              <w:right w:val="single" w:sz="4" w:space="0" w:color="000000"/>
            </w:tcBorders>
          </w:tcPr>
          <w:p w14:paraId="6F42C9AF"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Receive an initial response to Priority 4 (The issue has minimal impact on operations. This includes general usage questions, feature requests, or documentation clarifications.) within 24 hours and a target resolution agreed upon case-by-case. </w:t>
            </w:r>
          </w:p>
        </w:tc>
        <w:tc>
          <w:tcPr>
            <w:tcW w:w="1080" w:type="dxa"/>
            <w:tcBorders>
              <w:top w:val="single" w:sz="4" w:space="0" w:color="000000"/>
              <w:left w:val="single" w:sz="4" w:space="0" w:color="000000"/>
              <w:bottom w:val="single" w:sz="4" w:space="0" w:color="000000"/>
              <w:right w:val="single" w:sz="4" w:space="0" w:color="000000"/>
            </w:tcBorders>
          </w:tcPr>
          <w:p w14:paraId="7040278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683A122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16D667F6" w14:textId="77777777" w:rsidR="00CC5456" w:rsidRDefault="008F7D07">
            <w:pPr>
              <w:spacing w:after="120" w:line="256" w:lineRule="auto"/>
              <w:rPr>
                <w:rFonts w:ascii="Arial" w:eastAsia="Arial" w:hAnsi="Arial" w:cs="Arial"/>
                <w:sz w:val="24"/>
                <w:szCs w:val="24"/>
              </w:rPr>
            </w:pPr>
            <w:r>
              <w:rPr>
                <w:rFonts w:ascii="Fujitsu Infinity Pro" w:eastAsia="Fujitsu Infinity Pro" w:hAnsi="Fujitsu Infinity Pro" w:cs="Fujitsu Infinity Pro"/>
                <w:sz w:val="22"/>
                <w:szCs w:val="22"/>
              </w:rPr>
              <w:t>0.5% for each percentage under the specified Near Target Service Level Performance Measure</w:t>
            </w:r>
          </w:p>
        </w:tc>
      </w:tr>
      <w:tr w:rsidR="00CC5456" w14:paraId="3B088891"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6D378DDD"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System testing</w:t>
            </w:r>
          </w:p>
        </w:tc>
        <w:tc>
          <w:tcPr>
            <w:tcW w:w="2355" w:type="dxa"/>
            <w:tcBorders>
              <w:top w:val="single" w:sz="4" w:space="0" w:color="000000"/>
              <w:left w:val="single" w:sz="4" w:space="0" w:color="000000"/>
              <w:bottom w:val="single" w:sz="4" w:space="0" w:color="000000"/>
              <w:right w:val="single" w:sz="4" w:space="0" w:color="000000"/>
            </w:tcBorders>
          </w:tcPr>
          <w:p w14:paraId="074A59D0"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Pass all testing requirements and meet acceptance criteria.</w:t>
            </w:r>
          </w:p>
          <w:p w14:paraId="4A644439" w14:textId="77777777" w:rsidR="00CC5456" w:rsidRDefault="008F7D07">
            <w:pPr>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Release is working in a live environment with no disruption or negative impact on user experience</w:t>
            </w:r>
          </w:p>
        </w:tc>
        <w:tc>
          <w:tcPr>
            <w:tcW w:w="1080" w:type="dxa"/>
            <w:tcBorders>
              <w:top w:val="single" w:sz="4" w:space="0" w:color="000000"/>
              <w:left w:val="single" w:sz="4" w:space="0" w:color="000000"/>
              <w:bottom w:val="single" w:sz="4" w:space="0" w:color="000000"/>
              <w:right w:val="single" w:sz="4" w:space="0" w:color="000000"/>
            </w:tcBorders>
          </w:tcPr>
          <w:p w14:paraId="039A1960"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49CC231C"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376BBB98"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1C653A44"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516BEE0E"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lastRenderedPageBreak/>
              <w:t>Accessibility</w:t>
            </w:r>
          </w:p>
        </w:tc>
        <w:tc>
          <w:tcPr>
            <w:tcW w:w="2355" w:type="dxa"/>
            <w:tcBorders>
              <w:top w:val="single" w:sz="4" w:space="0" w:color="000000"/>
              <w:left w:val="single" w:sz="4" w:space="0" w:color="000000"/>
              <w:bottom w:val="single" w:sz="4" w:space="0" w:color="000000"/>
              <w:right w:val="single" w:sz="4" w:space="0" w:color="000000"/>
            </w:tcBorders>
          </w:tcPr>
          <w:p w14:paraId="34985E96" w14:textId="77777777" w:rsidR="00CC5456" w:rsidRDefault="008F7D07">
            <w:pPr>
              <w:rPr>
                <w:rFonts w:ascii="Fujitsu Infinity Pro" w:eastAsia="Fujitsu Infinity Pro" w:hAnsi="Fujitsu Infinity Pro" w:cs="Fujitsu Infinity Pro"/>
                <w:sz w:val="22"/>
                <w:szCs w:val="22"/>
              </w:rPr>
            </w:pPr>
            <w:r>
              <w:rPr>
                <w:rFonts w:ascii="Roboto" w:eastAsia="Roboto" w:hAnsi="Roboto" w:cs="Roboto"/>
                <w:color w:val="202124"/>
                <w:sz w:val="22"/>
                <w:szCs w:val="22"/>
              </w:rPr>
              <w:t>All relevant accessibility standards are met to a minimum of WCAG 2.1 AA conformance or equivalent, or there are clear, measurable plans to achieve this.</w:t>
            </w:r>
          </w:p>
        </w:tc>
        <w:tc>
          <w:tcPr>
            <w:tcW w:w="1080" w:type="dxa"/>
            <w:tcBorders>
              <w:top w:val="single" w:sz="4" w:space="0" w:color="000000"/>
              <w:left w:val="single" w:sz="4" w:space="0" w:color="000000"/>
              <w:bottom w:val="single" w:sz="4" w:space="0" w:color="000000"/>
              <w:right w:val="single" w:sz="4" w:space="0" w:color="000000"/>
            </w:tcBorders>
          </w:tcPr>
          <w:p w14:paraId="54716F9E"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1ED3D30C" w14:textId="77777777" w:rsidR="00CC5456" w:rsidRDefault="008F7D07">
            <w:pPr>
              <w:spacing w:after="384"/>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3F54343F" w14:textId="77777777" w:rsidR="00CC5456" w:rsidRDefault="008F7D07">
            <w:pPr>
              <w:spacing w:after="120"/>
              <w:ind w:left="95"/>
              <w:rPr>
                <w:rFonts w:ascii="Arial" w:eastAsia="Arial" w:hAnsi="Arial" w:cs="Arial"/>
                <w:sz w:val="24"/>
                <w:szCs w:val="24"/>
                <w:highlight w:val="red"/>
              </w:rPr>
            </w:pPr>
            <w:r>
              <w:rPr>
                <w:rFonts w:ascii="Arial" w:eastAsia="Arial" w:hAnsi="Arial" w:cs="Arial"/>
                <w:sz w:val="24"/>
                <w:szCs w:val="24"/>
              </w:rPr>
              <w:t>N/A</w:t>
            </w:r>
          </w:p>
        </w:tc>
      </w:tr>
      <w:tr w:rsidR="00CC5456" w14:paraId="3415A066"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72791353" w14:textId="77777777" w:rsidR="00CC5456" w:rsidRDefault="008F7D07">
            <w:pPr>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Invoicing schedule</w:t>
            </w:r>
          </w:p>
        </w:tc>
        <w:tc>
          <w:tcPr>
            <w:tcW w:w="2355" w:type="dxa"/>
            <w:tcBorders>
              <w:top w:val="single" w:sz="4" w:space="0" w:color="000000"/>
              <w:left w:val="single" w:sz="4" w:space="0" w:color="000000"/>
              <w:bottom w:val="single" w:sz="4" w:space="0" w:color="000000"/>
              <w:right w:val="single" w:sz="4" w:space="0" w:color="000000"/>
            </w:tcBorders>
          </w:tcPr>
          <w:p w14:paraId="29E74214" w14:textId="77777777" w:rsidR="00CC5456" w:rsidRDefault="008F7D07">
            <w:pPr>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Invoices are submitted in accordance with the agreed timescale</w:t>
            </w:r>
          </w:p>
        </w:tc>
        <w:tc>
          <w:tcPr>
            <w:tcW w:w="1080" w:type="dxa"/>
            <w:tcBorders>
              <w:top w:val="single" w:sz="4" w:space="0" w:color="000000"/>
              <w:left w:val="single" w:sz="4" w:space="0" w:color="000000"/>
              <w:bottom w:val="single" w:sz="4" w:space="0" w:color="000000"/>
              <w:right w:val="single" w:sz="4" w:space="0" w:color="000000"/>
            </w:tcBorders>
          </w:tcPr>
          <w:p w14:paraId="27DEB489" w14:textId="77777777" w:rsidR="00CC5456" w:rsidRDefault="008F7D07">
            <w:pPr>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25C0B93F" w14:textId="77777777" w:rsidR="00CC5456" w:rsidRDefault="008F7D07">
            <w:pPr>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6D8F78AE"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365E8EE5"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3CB7463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Invoicing accuracy</w:t>
            </w:r>
          </w:p>
        </w:tc>
        <w:tc>
          <w:tcPr>
            <w:tcW w:w="2355" w:type="dxa"/>
            <w:tcBorders>
              <w:top w:val="single" w:sz="4" w:space="0" w:color="000000"/>
              <w:left w:val="single" w:sz="4" w:space="0" w:color="000000"/>
              <w:bottom w:val="single" w:sz="4" w:space="0" w:color="000000"/>
              <w:right w:val="single" w:sz="4" w:space="0" w:color="000000"/>
            </w:tcBorders>
          </w:tcPr>
          <w:p w14:paraId="5E0C972C"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Invoices are accurate, complete and include all required information, including correct budget heading and separate invoices for each budget heading</w:t>
            </w:r>
          </w:p>
        </w:tc>
        <w:tc>
          <w:tcPr>
            <w:tcW w:w="1080" w:type="dxa"/>
            <w:tcBorders>
              <w:top w:val="single" w:sz="4" w:space="0" w:color="000000"/>
              <w:left w:val="single" w:sz="4" w:space="0" w:color="000000"/>
              <w:bottom w:val="single" w:sz="4" w:space="0" w:color="000000"/>
              <w:right w:val="single" w:sz="4" w:space="0" w:color="000000"/>
            </w:tcBorders>
          </w:tcPr>
          <w:p w14:paraId="241056DE"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21E13AFF"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58A112E4"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230F2769"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649CA767"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MI and reporting</w:t>
            </w:r>
          </w:p>
        </w:tc>
        <w:tc>
          <w:tcPr>
            <w:tcW w:w="2355" w:type="dxa"/>
            <w:tcBorders>
              <w:top w:val="single" w:sz="4" w:space="0" w:color="000000"/>
              <w:left w:val="single" w:sz="4" w:space="0" w:color="000000"/>
              <w:bottom w:val="single" w:sz="4" w:space="0" w:color="000000"/>
              <w:right w:val="single" w:sz="4" w:space="0" w:color="000000"/>
            </w:tcBorders>
          </w:tcPr>
          <w:p w14:paraId="68CF0DCE"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Management information and reports are accurate and on time</w:t>
            </w:r>
          </w:p>
        </w:tc>
        <w:tc>
          <w:tcPr>
            <w:tcW w:w="1080" w:type="dxa"/>
            <w:tcBorders>
              <w:top w:val="single" w:sz="4" w:space="0" w:color="000000"/>
              <w:left w:val="single" w:sz="4" w:space="0" w:color="000000"/>
              <w:bottom w:val="single" w:sz="4" w:space="0" w:color="000000"/>
              <w:right w:val="single" w:sz="4" w:space="0" w:color="000000"/>
            </w:tcBorders>
          </w:tcPr>
          <w:p w14:paraId="6A518D8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1425" w:type="dxa"/>
            <w:tcBorders>
              <w:top w:val="single" w:sz="4" w:space="0" w:color="000000"/>
              <w:left w:val="single" w:sz="4" w:space="0" w:color="000000"/>
              <w:bottom w:val="single" w:sz="4" w:space="0" w:color="000000"/>
              <w:right w:val="single" w:sz="4" w:space="0" w:color="000000"/>
            </w:tcBorders>
          </w:tcPr>
          <w:p w14:paraId="55B01B69"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95%</w:t>
            </w:r>
          </w:p>
        </w:tc>
        <w:tc>
          <w:tcPr>
            <w:tcW w:w="2100" w:type="dxa"/>
          </w:tcPr>
          <w:p w14:paraId="60186608"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263EF8C4"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1767AD35"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Data security</w:t>
            </w:r>
          </w:p>
        </w:tc>
        <w:tc>
          <w:tcPr>
            <w:tcW w:w="2355" w:type="dxa"/>
            <w:tcBorders>
              <w:top w:val="single" w:sz="4" w:space="0" w:color="000000"/>
              <w:left w:val="single" w:sz="4" w:space="0" w:color="000000"/>
              <w:bottom w:val="single" w:sz="4" w:space="0" w:color="000000"/>
              <w:right w:val="single" w:sz="4" w:space="0" w:color="000000"/>
            </w:tcBorders>
          </w:tcPr>
          <w:p w14:paraId="7F6C775B"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Management information and dashboard reports on vulnerabilities, risks and  protective monitoring are maintained in accordance with agreed schedule</w:t>
            </w:r>
          </w:p>
        </w:tc>
        <w:tc>
          <w:tcPr>
            <w:tcW w:w="1080" w:type="dxa"/>
            <w:tcBorders>
              <w:top w:val="single" w:sz="4" w:space="0" w:color="000000"/>
              <w:left w:val="single" w:sz="4" w:space="0" w:color="000000"/>
              <w:bottom w:val="single" w:sz="4" w:space="0" w:color="000000"/>
              <w:right w:val="single" w:sz="4" w:space="0" w:color="000000"/>
            </w:tcBorders>
          </w:tcPr>
          <w:p w14:paraId="7F2BEB98"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52FA2B1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625306F6"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4EE362BC"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58DA322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Data breaches</w:t>
            </w:r>
          </w:p>
        </w:tc>
        <w:tc>
          <w:tcPr>
            <w:tcW w:w="2355" w:type="dxa"/>
            <w:tcBorders>
              <w:top w:val="single" w:sz="4" w:space="0" w:color="000000"/>
              <w:left w:val="single" w:sz="4" w:space="0" w:color="000000"/>
              <w:bottom w:val="single" w:sz="4" w:space="0" w:color="000000"/>
              <w:right w:val="single" w:sz="4" w:space="0" w:color="000000"/>
            </w:tcBorders>
          </w:tcPr>
          <w:p w14:paraId="45C399F3"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Notifying Cabinet Office of any breach or data without undue delay</w:t>
            </w:r>
          </w:p>
        </w:tc>
        <w:tc>
          <w:tcPr>
            <w:tcW w:w="1080" w:type="dxa"/>
            <w:tcBorders>
              <w:top w:val="single" w:sz="4" w:space="0" w:color="000000"/>
              <w:left w:val="single" w:sz="4" w:space="0" w:color="000000"/>
              <w:bottom w:val="single" w:sz="4" w:space="0" w:color="000000"/>
              <w:right w:val="single" w:sz="4" w:space="0" w:color="000000"/>
            </w:tcBorders>
          </w:tcPr>
          <w:p w14:paraId="7BF5E28E"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23015547"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053149A8"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1B52361F"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044FA2B0"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Data breaches</w:t>
            </w:r>
          </w:p>
        </w:tc>
        <w:tc>
          <w:tcPr>
            <w:tcW w:w="2355" w:type="dxa"/>
            <w:tcBorders>
              <w:top w:val="single" w:sz="4" w:space="0" w:color="000000"/>
              <w:left w:val="single" w:sz="4" w:space="0" w:color="000000"/>
              <w:bottom w:val="single" w:sz="4" w:space="0" w:color="000000"/>
              <w:right w:val="single" w:sz="4" w:space="0" w:color="000000"/>
            </w:tcBorders>
          </w:tcPr>
          <w:p w14:paraId="7E20EBFC"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Informing the Cabinet Office of any data subject access requests within 72 hours and assisting so that these are completed within the statutory period</w:t>
            </w:r>
          </w:p>
        </w:tc>
        <w:tc>
          <w:tcPr>
            <w:tcW w:w="1080" w:type="dxa"/>
            <w:tcBorders>
              <w:top w:val="single" w:sz="4" w:space="0" w:color="000000"/>
              <w:left w:val="single" w:sz="4" w:space="0" w:color="000000"/>
              <w:bottom w:val="single" w:sz="4" w:space="0" w:color="000000"/>
              <w:right w:val="single" w:sz="4" w:space="0" w:color="000000"/>
            </w:tcBorders>
          </w:tcPr>
          <w:p w14:paraId="500A2FA3"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31D25B4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6E039AB0"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7CAA40CA"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3BF2F13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lastRenderedPageBreak/>
              <w:t>Security</w:t>
            </w:r>
          </w:p>
        </w:tc>
        <w:tc>
          <w:tcPr>
            <w:tcW w:w="2355" w:type="dxa"/>
            <w:tcBorders>
              <w:top w:val="single" w:sz="4" w:space="0" w:color="000000"/>
              <w:left w:val="single" w:sz="4" w:space="0" w:color="000000"/>
              <w:bottom w:val="single" w:sz="4" w:space="0" w:color="000000"/>
              <w:right w:val="single" w:sz="4" w:space="0" w:color="000000"/>
            </w:tcBorders>
          </w:tcPr>
          <w:p w14:paraId="721BCBE6"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Conduct protective monitoring requirements</w:t>
            </w:r>
          </w:p>
        </w:tc>
        <w:tc>
          <w:tcPr>
            <w:tcW w:w="1080" w:type="dxa"/>
            <w:tcBorders>
              <w:top w:val="single" w:sz="4" w:space="0" w:color="000000"/>
              <w:left w:val="single" w:sz="4" w:space="0" w:color="000000"/>
              <w:bottom w:val="single" w:sz="4" w:space="0" w:color="000000"/>
              <w:right w:val="single" w:sz="4" w:space="0" w:color="000000"/>
            </w:tcBorders>
          </w:tcPr>
          <w:p w14:paraId="2F6A345C"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1867865D"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569A6890"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203797FD"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2A84757A"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Security</w:t>
            </w:r>
          </w:p>
        </w:tc>
        <w:tc>
          <w:tcPr>
            <w:tcW w:w="2355" w:type="dxa"/>
            <w:tcBorders>
              <w:top w:val="single" w:sz="4" w:space="0" w:color="000000"/>
              <w:left w:val="single" w:sz="4" w:space="0" w:color="000000"/>
              <w:bottom w:val="single" w:sz="4" w:space="0" w:color="000000"/>
              <w:right w:val="single" w:sz="4" w:space="0" w:color="000000"/>
            </w:tcBorders>
          </w:tcPr>
          <w:p w14:paraId="369B98F8"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Ensuring solutions are ISO 27001:2013 certified</w:t>
            </w:r>
          </w:p>
        </w:tc>
        <w:tc>
          <w:tcPr>
            <w:tcW w:w="1080" w:type="dxa"/>
            <w:tcBorders>
              <w:top w:val="single" w:sz="4" w:space="0" w:color="000000"/>
              <w:left w:val="single" w:sz="4" w:space="0" w:color="000000"/>
              <w:bottom w:val="single" w:sz="4" w:space="0" w:color="000000"/>
              <w:right w:val="single" w:sz="4" w:space="0" w:color="000000"/>
            </w:tcBorders>
          </w:tcPr>
          <w:p w14:paraId="0A483F29"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10ABABF0"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24EFD7D4"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5DDC511D"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0FCE92B0"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Security </w:t>
            </w:r>
          </w:p>
        </w:tc>
        <w:tc>
          <w:tcPr>
            <w:tcW w:w="2355" w:type="dxa"/>
            <w:tcBorders>
              <w:top w:val="single" w:sz="4" w:space="0" w:color="000000"/>
              <w:left w:val="single" w:sz="4" w:space="0" w:color="000000"/>
              <w:bottom w:val="single" w:sz="4" w:space="0" w:color="000000"/>
              <w:right w:val="single" w:sz="4" w:space="0" w:color="000000"/>
            </w:tcBorders>
          </w:tcPr>
          <w:p w14:paraId="02DE323F"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 xml:space="preserve">Ensuring Cybersecurity + certification is up to date during lifetime of project </w:t>
            </w:r>
          </w:p>
        </w:tc>
        <w:tc>
          <w:tcPr>
            <w:tcW w:w="1080" w:type="dxa"/>
            <w:tcBorders>
              <w:top w:val="single" w:sz="4" w:space="0" w:color="000000"/>
              <w:left w:val="single" w:sz="4" w:space="0" w:color="000000"/>
              <w:bottom w:val="single" w:sz="4" w:space="0" w:color="000000"/>
              <w:right w:val="single" w:sz="4" w:space="0" w:color="000000"/>
            </w:tcBorders>
          </w:tcPr>
          <w:p w14:paraId="213A593B"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567DE4B5"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36BBCE0B"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3228007D" w14:textId="77777777">
        <w:trPr>
          <w:trHeight w:val="1474"/>
          <w:jc w:val="center"/>
        </w:trPr>
        <w:tc>
          <w:tcPr>
            <w:tcW w:w="1545" w:type="dxa"/>
            <w:tcBorders>
              <w:top w:val="single" w:sz="4" w:space="0" w:color="000000"/>
              <w:left w:val="single" w:sz="4" w:space="0" w:color="000000"/>
              <w:bottom w:val="single" w:sz="4" w:space="0" w:color="000000"/>
              <w:right w:val="single" w:sz="4" w:space="0" w:color="000000"/>
            </w:tcBorders>
          </w:tcPr>
          <w:p w14:paraId="6820AC8F"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Security</w:t>
            </w:r>
          </w:p>
        </w:tc>
        <w:tc>
          <w:tcPr>
            <w:tcW w:w="2355" w:type="dxa"/>
            <w:tcBorders>
              <w:top w:val="single" w:sz="4" w:space="0" w:color="000000"/>
              <w:left w:val="single" w:sz="4" w:space="0" w:color="000000"/>
              <w:bottom w:val="single" w:sz="4" w:space="0" w:color="000000"/>
              <w:right w:val="single" w:sz="4" w:space="0" w:color="000000"/>
            </w:tcBorders>
          </w:tcPr>
          <w:p w14:paraId="4888E0C9" w14:textId="77777777" w:rsidR="00CC5456" w:rsidRDefault="008F7D07">
            <w:pPr>
              <w:spacing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Adherence to NCSC Security Design Principles (this will be monitored via audits and randomised checks)</w:t>
            </w:r>
          </w:p>
        </w:tc>
        <w:tc>
          <w:tcPr>
            <w:tcW w:w="1080" w:type="dxa"/>
            <w:tcBorders>
              <w:top w:val="single" w:sz="4" w:space="0" w:color="000000"/>
              <w:left w:val="single" w:sz="4" w:space="0" w:color="000000"/>
              <w:bottom w:val="single" w:sz="4" w:space="0" w:color="000000"/>
              <w:right w:val="single" w:sz="4" w:space="0" w:color="000000"/>
            </w:tcBorders>
          </w:tcPr>
          <w:p w14:paraId="46245C01"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1425" w:type="dxa"/>
            <w:tcBorders>
              <w:top w:val="single" w:sz="4" w:space="0" w:color="000000"/>
              <w:left w:val="single" w:sz="4" w:space="0" w:color="000000"/>
              <w:bottom w:val="single" w:sz="4" w:space="0" w:color="000000"/>
              <w:right w:val="single" w:sz="4" w:space="0" w:color="000000"/>
            </w:tcBorders>
          </w:tcPr>
          <w:p w14:paraId="7BEA7C29" w14:textId="77777777" w:rsidR="00CC5456" w:rsidRDefault="008F7D07">
            <w:pPr>
              <w:spacing w:after="384" w:line="256" w:lineRule="auto"/>
              <w:rPr>
                <w:rFonts w:ascii="Fujitsu Infinity Pro" w:eastAsia="Fujitsu Infinity Pro" w:hAnsi="Fujitsu Infinity Pro" w:cs="Fujitsu Infinity Pro"/>
                <w:sz w:val="22"/>
                <w:szCs w:val="22"/>
              </w:rPr>
            </w:pPr>
            <w:r>
              <w:rPr>
                <w:rFonts w:ascii="Fujitsu Infinity Pro" w:eastAsia="Fujitsu Infinity Pro" w:hAnsi="Fujitsu Infinity Pro" w:cs="Fujitsu Infinity Pro"/>
                <w:sz w:val="22"/>
                <w:szCs w:val="22"/>
              </w:rPr>
              <w:t>100%</w:t>
            </w:r>
          </w:p>
        </w:tc>
        <w:tc>
          <w:tcPr>
            <w:tcW w:w="2100" w:type="dxa"/>
          </w:tcPr>
          <w:p w14:paraId="6DAA1D03"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r w:rsidR="00CC5456" w14:paraId="1A9EE721" w14:textId="77777777">
        <w:trPr>
          <w:trHeight w:val="1474"/>
          <w:jc w:val="center"/>
        </w:trPr>
        <w:tc>
          <w:tcPr>
            <w:tcW w:w="1545" w:type="dxa"/>
          </w:tcPr>
          <w:p w14:paraId="43A793C0" w14:textId="77777777" w:rsidR="00CC5456" w:rsidRDefault="008F7D07">
            <w:pPr>
              <w:spacing w:after="120"/>
              <w:ind w:left="61"/>
              <w:rPr>
                <w:rFonts w:ascii="Arial" w:eastAsia="Arial" w:hAnsi="Arial" w:cs="Arial"/>
                <w:sz w:val="24"/>
                <w:szCs w:val="24"/>
              </w:rPr>
            </w:pPr>
            <w:r>
              <w:rPr>
                <w:rFonts w:ascii="Arial" w:eastAsia="Arial" w:hAnsi="Arial" w:cs="Arial"/>
                <w:sz w:val="24"/>
                <w:szCs w:val="24"/>
              </w:rPr>
              <w:t>Security</w:t>
            </w:r>
          </w:p>
        </w:tc>
        <w:tc>
          <w:tcPr>
            <w:tcW w:w="2355" w:type="dxa"/>
          </w:tcPr>
          <w:p w14:paraId="0EDC0C83"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Ensuring that supplier staff with access to bulk personal data (over 100 records) hold Security Clearance (SC) clearance</w:t>
            </w:r>
          </w:p>
        </w:tc>
        <w:tc>
          <w:tcPr>
            <w:tcW w:w="1080" w:type="dxa"/>
          </w:tcPr>
          <w:p w14:paraId="2AD8B650" w14:textId="77777777" w:rsidR="00CC5456" w:rsidRDefault="008F7D07">
            <w:pPr>
              <w:spacing w:after="120"/>
              <w:rPr>
                <w:rFonts w:ascii="Arial" w:eastAsia="Arial" w:hAnsi="Arial" w:cs="Arial"/>
                <w:sz w:val="24"/>
                <w:szCs w:val="24"/>
              </w:rPr>
            </w:pPr>
            <w:r>
              <w:rPr>
                <w:rFonts w:ascii="Arial" w:eastAsia="Arial" w:hAnsi="Arial" w:cs="Arial"/>
                <w:sz w:val="24"/>
                <w:szCs w:val="24"/>
              </w:rPr>
              <w:t>100%</w:t>
            </w:r>
          </w:p>
        </w:tc>
        <w:tc>
          <w:tcPr>
            <w:tcW w:w="1425" w:type="dxa"/>
          </w:tcPr>
          <w:p w14:paraId="56D6E1CB" w14:textId="77777777" w:rsidR="00CC5456" w:rsidRDefault="008F7D07">
            <w:pPr>
              <w:spacing w:after="120"/>
              <w:rPr>
                <w:rFonts w:ascii="Arial" w:eastAsia="Arial" w:hAnsi="Arial" w:cs="Arial"/>
                <w:sz w:val="24"/>
                <w:szCs w:val="24"/>
              </w:rPr>
            </w:pPr>
            <w:r>
              <w:rPr>
                <w:rFonts w:ascii="Arial" w:eastAsia="Arial" w:hAnsi="Arial" w:cs="Arial"/>
                <w:sz w:val="24"/>
                <w:szCs w:val="24"/>
              </w:rPr>
              <w:t>100%</w:t>
            </w:r>
          </w:p>
        </w:tc>
        <w:tc>
          <w:tcPr>
            <w:tcW w:w="2100" w:type="dxa"/>
          </w:tcPr>
          <w:p w14:paraId="0CA11492" w14:textId="77777777" w:rsidR="00CC5456" w:rsidRDefault="008F7D07">
            <w:pPr>
              <w:spacing w:after="120"/>
              <w:ind w:left="95"/>
              <w:rPr>
                <w:rFonts w:ascii="Arial" w:eastAsia="Arial" w:hAnsi="Arial" w:cs="Arial"/>
                <w:sz w:val="24"/>
                <w:szCs w:val="24"/>
              </w:rPr>
            </w:pPr>
            <w:r>
              <w:rPr>
                <w:rFonts w:ascii="Arial" w:eastAsia="Arial" w:hAnsi="Arial" w:cs="Arial"/>
                <w:sz w:val="24"/>
                <w:szCs w:val="24"/>
              </w:rPr>
              <w:t>N/A</w:t>
            </w:r>
          </w:p>
        </w:tc>
      </w:tr>
    </w:tbl>
    <w:p w14:paraId="5D159868" w14:textId="77777777" w:rsidR="00CC5456" w:rsidRDefault="00CC5456">
      <w:pPr>
        <w:ind w:left="709"/>
        <w:rPr>
          <w:rFonts w:ascii="Arial" w:eastAsia="Arial" w:hAnsi="Arial" w:cs="Arial"/>
          <w:sz w:val="24"/>
          <w:szCs w:val="24"/>
          <w:highlight w:val="green"/>
        </w:rPr>
      </w:pPr>
    </w:p>
    <w:p w14:paraId="2084A932" w14:textId="77777777" w:rsidR="00CC5456" w:rsidRDefault="008F7D07">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1C5BADB8" w14:textId="77777777" w:rsidR="00CC5456" w:rsidRDefault="008F7D07">
      <w:pPr>
        <w:ind w:left="709"/>
        <w:rPr>
          <w:rFonts w:ascii="Arial" w:eastAsia="Arial" w:hAnsi="Arial" w:cs="Arial"/>
          <w:sz w:val="24"/>
          <w:szCs w:val="24"/>
        </w:rPr>
      </w:pPr>
      <w:r>
        <w:rPr>
          <w:rFonts w:ascii="Arial" w:eastAsia="Arial" w:hAnsi="Arial" w:cs="Arial"/>
          <w:sz w:val="24"/>
          <w:szCs w:val="24"/>
        </w:rPr>
        <w:t>Example:</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75"/>
        <w:gridCol w:w="685"/>
        <w:gridCol w:w="3966"/>
      </w:tblGrid>
      <w:tr w:rsidR="00CC5456" w14:paraId="20B9643E" w14:textId="77777777">
        <w:tc>
          <w:tcPr>
            <w:tcW w:w="4375" w:type="dxa"/>
          </w:tcPr>
          <w:p w14:paraId="04243B6C" w14:textId="77777777" w:rsidR="00CC5456" w:rsidRDefault="008F7D07">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7D084DF6" w14:textId="77777777" w:rsidR="00CC5456" w:rsidRDefault="008F7D07">
            <w:pPr>
              <w:ind w:left="211"/>
              <w:rPr>
                <w:rFonts w:ascii="Arial" w:eastAsia="Arial" w:hAnsi="Arial" w:cs="Arial"/>
                <w:sz w:val="24"/>
                <w:szCs w:val="24"/>
              </w:rPr>
            </w:pPr>
            <w:r>
              <w:rPr>
                <w:rFonts w:ascii="Arial" w:eastAsia="Arial" w:hAnsi="Arial" w:cs="Arial"/>
                <w:sz w:val="24"/>
                <w:szCs w:val="24"/>
              </w:rPr>
              <w:t>=</w:t>
            </w:r>
          </w:p>
        </w:tc>
        <w:tc>
          <w:tcPr>
            <w:tcW w:w="3966" w:type="dxa"/>
          </w:tcPr>
          <w:p w14:paraId="42A3CB41" w14:textId="77777777" w:rsidR="00CC5456" w:rsidRDefault="008F7D07">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CC5456" w14:paraId="03C9D26E" w14:textId="77777777">
        <w:tc>
          <w:tcPr>
            <w:tcW w:w="4375" w:type="dxa"/>
          </w:tcPr>
          <w:p w14:paraId="03475A05" w14:textId="77777777" w:rsidR="00CC5456" w:rsidRDefault="008F7D07">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63552DD5" w14:textId="77777777" w:rsidR="00CC5456" w:rsidRDefault="00CC5456">
            <w:pPr>
              <w:ind w:left="567"/>
              <w:rPr>
                <w:rFonts w:ascii="Arial" w:eastAsia="Arial" w:hAnsi="Arial" w:cs="Arial"/>
                <w:sz w:val="24"/>
                <w:szCs w:val="24"/>
              </w:rPr>
            </w:pPr>
          </w:p>
        </w:tc>
        <w:tc>
          <w:tcPr>
            <w:tcW w:w="685" w:type="dxa"/>
          </w:tcPr>
          <w:p w14:paraId="55CC312D" w14:textId="77777777" w:rsidR="00CC5456" w:rsidRDefault="008F7D07">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14:paraId="1587724D" w14:textId="77777777" w:rsidR="00CC5456" w:rsidRDefault="008F7D07">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0838BD7B" w14:textId="77777777" w:rsidR="00CC5456" w:rsidRDefault="00CC5456">
            <w:pPr>
              <w:ind w:left="145"/>
              <w:rPr>
                <w:rFonts w:ascii="Arial" w:eastAsia="Arial" w:hAnsi="Arial" w:cs="Arial"/>
                <w:sz w:val="24"/>
                <w:szCs w:val="24"/>
              </w:rPr>
            </w:pPr>
          </w:p>
        </w:tc>
      </w:tr>
    </w:tbl>
    <w:p w14:paraId="709A8905" w14:textId="77777777" w:rsidR="00CC5456" w:rsidRDefault="008F7D0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73877475" w14:textId="77777777" w:rsidR="00CC5456" w:rsidRDefault="008F7D0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2E8B9F38"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3D6804C8" w14:textId="77777777" w:rsidR="00CC5456" w:rsidRDefault="008F7D07">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5A8C338A"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4FA20887"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162E0341"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7E3F90C7"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67A21D06"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51405D66"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2D4BF350" w14:textId="77777777" w:rsidR="00CC5456" w:rsidRDefault="008F7D07">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55C2150F"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11AEC7DA"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7935C325" w14:textId="77777777" w:rsidR="00CC5456" w:rsidRDefault="008F7D0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1E8C5130"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081363E6"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AEC30A4" w14:textId="77777777" w:rsidR="00CC5456" w:rsidRDefault="00CC5456">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0212E55D" w14:textId="77777777" w:rsidR="00CC5456" w:rsidRDefault="008F7D0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29F5D5E9" w14:textId="77777777" w:rsidR="00CC5456" w:rsidRDefault="008F7D0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571C1D2B" w14:textId="77777777" w:rsidR="00CC5456" w:rsidRDefault="00CC5456">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CC545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B665C" w14:textId="77777777" w:rsidR="008F7D07" w:rsidRDefault="008F7D07">
      <w:pPr>
        <w:spacing w:after="0" w:line="240" w:lineRule="auto"/>
      </w:pPr>
      <w:r>
        <w:separator/>
      </w:r>
    </w:p>
  </w:endnote>
  <w:endnote w:type="continuationSeparator" w:id="0">
    <w:p w14:paraId="5D87D0E6" w14:textId="77777777" w:rsidR="008F7D07" w:rsidRDefault="008F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Fujitsu Infinity Pro">
    <w:altName w:val="Calibri"/>
    <w:charset w:val="00"/>
    <w:family w:val="auto"/>
    <w:pitch w:val="default"/>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CD21B" w14:textId="77777777" w:rsidR="00CC5456" w:rsidRDefault="00CC5456">
    <w:pPr>
      <w:tabs>
        <w:tab w:val="center" w:pos="4513"/>
        <w:tab w:val="right" w:pos="9026"/>
      </w:tabs>
      <w:spacing w:after="0" w:line="240" w:lineRule="auto"/>
      <w:jc w:val="both"/>
    </w:pPr>
  </w:p>
  <w:p w14:paraId="68653AA9"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0E8851F8"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0E0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EBD5224"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AA77" w14:textId="77777777" w:rsidR="00CC5456" w:rsidRDefault="00CC5456">
    <w:pPr>
      <w:tabs>
        <w:tab w:val="center" w:pos="4513"/>
        <w:tab w:val="right" w:pos="9026"/>
      </w:tabs>
      <w:spacing w:after="0" w:line="240" w:lineRule="auto"/>
      <w:jc w:val="both"/>
    </w:pPr>
  </w:p>
  <w:p w14:paraId="6D9364EE"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4A93E629"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6F19BB9" w14:textId="77777777" w:rsidR="00CC5456" w:rsidRDefault="008F7D0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7DD13" w14:textId="77777777" w:rsidR="008F7D07" w:rsidRDefault="008F7D07">
      <w:pPr>
        <w:spacing w:after="0" w:line="240" w:lineRule="auto"/>
      </w:pPr>
      <w:r>
        <w:separator/>
      </w:r>
    </w:p>
  </w:footnote>
  <w:footnote w:type="continuationSeparator" w:id="0">
    <w:p w14:paraId="0C910D07" w14:textId="77777777" w:rsidR="008F7D07" w:rsidRDefault="008F7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ED8A"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00C5A9E4"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3A1352BD" w14:textId="77777777" w:rsidR="00CC5456" w:rsidRDefault="008F7D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1259FE5F" w14:textId="77777777" w:rsidR="00CC5456" w:rsidRDefault="00CC54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785"/>
    <w:multiLevelType w:val="multilevel"/>
    <w:tmpl w:val="40567AE8"/>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844AAA"/>
    <w:multiLevelType w:val="multilevel"/>
    <w:tmpl w:val="2370DDBA"/>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0E232A9"/>
    <w:multiLevelType w:val="multilevel"/>
    <w:tmpl w:val="7E6A2150"/>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6A4416"/>
    <w:multiLevelType w:val="multilevel"/>
    <w:tmpl w:val="A63256D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273301F"/>
    <w:multiLevelType w:val="multilevel"/>
    <w:tmpl w:val="A31E3DB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89195777">
    <w:abstractNumId w:val="0"/>
  </w:num>
  <w:num w:numId="2" w16cid:durableId="1905137691">
    <w:abstractNumId w:val="3"/>
  </w:num>
  <w:num w:numId="3" w16cid:durableId="610014910">
    <w:abstractNumId w:val="1"/>
  </w:num>
  <w:num w:numId="4" w16cid:durableId="1264608517">
    <w:abstractNumId w:val="4"/>
  </w:num>
  <w:num w:numId="5" w16cid:durableId="1082339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456"/>
    <w:rsid w:val="00250E06"/>
    <w:rsid w:val="00634EA3"/>
    <w:rsid w:val="008F7D07"/>
    <w:rsid w:val="00CC545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19FB"/>
  <w15:docId w15:val="{4B3C1CB2-2F44-4CC9-A208-9E30BAFC7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5wixHyKMtGdr9W/wnB6Cfj3eKg==">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1849</Words>
  <Characters>10542</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Taha Haidermota</cp:lastModifiedBy>
  <cp:revision>2</cp:revision>
  <dcterms:created xsi:type="dcterms:W3CDTF">2024-05-24T01:15:00Z</dcterms:created>
  <dcterms:modified xsi:type="dcterms:W3CDTF">2024-05-24T01:15:00Z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0x0101002A628F810D79A94E8458C0657F8BA1DF</vt:lpwstr>
  </property>
</Properties>
</file>